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宝丰酒业有限公司高粱招标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高粱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宝丰酒业有限公司高粱招标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0E540AD5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</w:t>
      </w:r>
      <w:r>
        <w:rPr>
          <w:rFonts w:hint="eastAsia" w:ascii="宋体" w:hAnsi="宋体" w:cs="Arial"/>
          <w:sz w:val="28"/>
          <w:szCs w:val="28"/>
          <w:lang w:val="en-US" w:eastAsia="zh-CN"/>
        </w:rPr>
        <w:t>宝丰酒业有限公司原辅料--高粱采购招标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20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12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20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17:00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12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16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12 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20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12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16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12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20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张田格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15503757989         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河南省宝丰县宝丰酒业有限公司院内</w:t>
      </w:r>
      <w:bookmarkEnd w:id="0"/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24BF6DF4">
      <w:pPr>
        <w:wordWrap w:val="0"/>
        <w:jc w:val="center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宝丰酒业有限公司     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2025年12月16日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高粱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宝丰酒业有限公司高粱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高粱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宝丰酒业有限公司高粱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0873EA"/>
    <w:rsid w:val="0369708A"/>
    <w:rsid w:val="07085CAE"/>
    <w:rsid w:val="08E164C0"/>
    <w:rsid w:val="0A7A6173"/>
    <w:rsid w:val="0E9A4F86"/>
    <w:rsid w:val="11124F95"/>
    <w:rsid w:val="11D13845"/>
    <w:rsid w:val="11D17916"/>
    <w:rsid w:val="191C31A6"/>
    <w:rsid w:val="193D71D6"/>
    <w:rsid w:val="1AD15E82"/>
    <w:rsid w:val="1C3403B6"/>
    <w:rsid w:val="1C7F652D"/>
    <w:rsid w:val="1E5E5E27"/>
    <w:rsid w:val="1E8D11EB"/>
    <w:rsid w:val="2160298F"/>
    <w:rsid w:val="21B95B4C"/>
    <w:rsid w:val="2236384B"/>
    <w:rsid w:val="27D9621D"/>
    <w:rsid w:val="2B753324"/>
    <w:rsid w:val="2C0525C8"/>
    <w:rsid w:val="306E67F1"/>
    <w:rsid w:val="318A2750"/>
    <w:rsid w:val="34993899"/>
    <w:rsid w:val="37074CE5"/>
    <w:rsid w:val="37C20399"/>
    <w:rsid w:val="3814414B"/>
    <w:rsid w:val="3A83424C"/>
    <w:rsid w:val="3AA17591"/>
    <w:rsid w:val="3BC0415B"/>
    <w:rsid w:val="3C1D62C3"/>
    <w:rsid w:val="3D884D31"/>
    <w:rsid w:val="3E6D3EC4"/>
    <w:rsid w:val="3F411776"/>
    <w:rsid w:val="413E128C"/>
    <w:rsid w:val="43103BFD"/>
    <w:rsid w:val="46555D2A"/>
    <w:rsid w:val="47596E9F"/>
    <w:rsid w:val="47BA1BF2"/>
    <w:rsid w:val="48254FD3"/>
    <w:rsid w:val="4D311FC7"/>
    <w:rsid w:val="4E3A50F3"/>
    <w:rsid w:val="4F571AEB"/>
    <w:rsid w:val="51464CCF"/>
    <w:rsid w:val="51EE2C84"/>
    <w:rsid w:val="53FC236D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13</Pages>
  <Words>1723</Words>
  <Characters>1764</Characters>
  <Lines>40</Lines>
  <Paragraphs>11</Paragraphs>
  <TotalTime>22</TotalTime>
  <ScaleCrop>false</ScaleCrop>
  <LinksUpToDate>false</LinksUpToDate>
  <CharactersWithSpaces>2755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清风云影</cp:lastModifiedBy>
  <dcterms:modified xsi:type="dcterms:W3CDTF">2025-12-16T07:54:15Z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27B2A0D1629E4E6992C82CF5DE32422C_13</vt:lpwstr>
  </property>
  <property fmtid="{D5CDD505-2E9C-101B-9397-08002B2CF9AE}" pid="4" name="KSOTemplateDocerSaveRecord">
    <vt:lpwstr>eyJoZGlkIjoiMjgyZDVhOTYzNjI4ZWQxOThiODAwOGVlYzFhNzQwODgiLCJ1c2VySWQiOiIzODE3MjY0MjMifQ==</vt:lpwstr>
  </property>
</Properties>
</file>